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254FE" w14:textId="39B934E1" w:rsidR="003C652A" w:rsidRPr="0002185B" w:rsidRDefault="0002185B">
      <w:pPr>
        <w:rPr>
          <w:rFonts w:ascii="Corbel" w:hAnsi="Corbel"/>
          <w:b/>
          <w:bCs/>
          <w:color w:val="000000" w:themeColor="text1"/>
          <w:sz w:val="32"/>
          <w:szCs w:val="32"/>
        </w:rPr>
      </w:pPr>
      <w:r w:rsidRPr="0002185B">
        <w:rPr>
          <w:rFonts w:ascii="Corbel" w:hAnsi="Corbel"/>
          <w:b/>
          <w:bCs/>
          <w:color w:val="000000" w:themeColor="text1"/>
          <w:sz w:val="32"/>
          <w:szCs w:val="32"/>
        </w:rPr>
        <w:t>Information Sheet 1</w:t>
      </w:r>
    </w:p>
    <w:p w14:paraId="7F704193" w14:textId="77777777" w:rsidR="0002185B" w:rsidRPr="0002185B" w:rsidRDefault="0002185B" w:rsidP="0002185B">
      <w:pPr>
        <w:rPr>
          <w:rFonts w:ascii="Corbel" w:hAnsi="Corbel"/>
          <w:b/>
          <w:bCs/>
          <w:color w:val="000000" w:themeColor="text1"/>
        </w:rPr>
      </w:pPr>
    </w:p>
    <w:p w14:paraId="1090983F" w14:textId="77777777" w:rsidR="0002185B" w:rsidRPr="0002185B" w:rsidRDefault="0002185B" w:rsidP="0002185B">
      <w:pPr>
        <w:pStyle w:val="ListParagraph"/>
        <w:numPr>
          <w:ilvl w:val="0"/>
          <w:numId w:val="1"/>
        </w:numPr>
        <w:rPr>
          <w:rFonts w:ascii="Corbel" w:hAnsi="Corbel" w:cs="Times New Roman"/>
          <w:color w:val="000000" w:themeColor="text1"/>
        </w:rPr>
      </w:pPr>
      <w:r w:rsidRPr="0002185B">
        <w:rPr>
          <w:rFonts w:ascii="Corbel" w:hAnsi="Corbel" w:cs="Times New Roman"/>
          <w:color w:val="000000" w:themeColor="text1"/>
        </w:rPr>
        <w:t>Over $55m was invested during 2012. Thus, we can conclude that foreign firms benefitting from this tax holiday did invest a significant amount.</w:t>
      </w:r>
    </w:p>
    <w:p w14:paraId="162D5552" w14:textId="77777777" w:rsidR="0002185B" w:rsidRPr="0002185B" w:rsidRDefault="0002185B" w:rsidP="0002185B">
      <w:pPr>
        <w:pStyle w:val="ListParagraph"/>
        <w:numPr>
          <w:ilvl w:val="1"/>
          <w:numId w:val="1"/>
        </w:numPr>
        <w:rPr>
          <w:rFonts w:ascii="Corbel" w:hAnsi="Corbel" w:cs="Times New Roman"/>
          <w:color w:val="000000" w:themeColor="text1"/>
        </w:rPr>
      </w:pPr>
      <w:r w:rsidRPr="0002185B">
        <w:rPr>
          <w:rFonts w:ascii="Corbel" w:hAnsi="Corbel" w:cs="Times New Roman"/>
          <w:color w:val="000000" w:themeColor="text1"/>
        </w:rPr>
        <w:t xml:space="preserve">However, we </w:t>
      </w:r>
      <w:r w:rsidRPr="0002185B">
        <w:rPr>
          <w:rFonts w:ascii="Corbel" w:hAnsi="Corbel" w:cs="Times New Roman"/>
          <w:b/>
          <w:bCs/>
          <w:color w:val="000000" w:themeColor="text1"/>
        </w:rPr>
        <w:t>cannot</w:t>
      </w:r>
      <w:r w:rsidRPr="0002185B">
        <w:rPr>
          <w:rFonts w:ascii="Corbel" w:hAnsi="Corbel" w:cs="Times New Roman"/>
          <w:color w:val="000000" w:themeColor="text1"/>
        </w:rPr>
        <w:t xml:space="preserve"> – using only the information in Sheet 1 – conclude that the tax holiday provided a </w:t>
      </w:r>
      <w:r w:rsidRPr="0002185B">
        <w:rPr>
          <w:rFonts w:ascii="Corbel" w:hAnsi="Corbel" w:cs="Times New Roman"/>
          <w:i/>
          <w:iCs/>
          <w:color w:val="000000" w:themeColor="text1"/>
        </w:rPr>
        <w:t>boost</w:t>
      </w:r>
      <w:r w:rsidRPr="0002185B">
        <w:rPr>
          <w:rFonts w:ascii="Corbel" w:hAnsi="Corbel" w:cs="Times New Roman"/>
          <w:color w:val="000000" w:themeColor="text1"/>
        </w:rPr>
        <w:t xml:space="preserve">. We don’t yet know anything about trends in FDI before or after.  </w:t>
      </w:r>
    </w:p>
    <w:p w14:paraId="1CD5CD2E" w14:textId="77777777" w:rsidR="0002185B" w:rsidRPr="0002185B" w:rsidRDefault="0002185B" w:rsidP="0002185B">
      <w:pPr>
        <w:pStyle w:val="ListParagraph"/>
        <w:ind w:left="1440"/>
        <w:rPr>
          <w:rFonts w:ascii="Corbel" w:hAnsi="Corbel" w:cs="Times New Roman"/>
          <w:color w:val="000000" w:themeColor="text1"/>
        </w:rPr>
      </w:pPr>
    </w:p>
    <w:p w14:paraId="642EF99D" w14:textId="77777777" w:rsidR="0002185B" w:rsidRDefault="0002185B" w:rsidP="0002185B">
      <w:pPr>
        <w:pStyle w:val="ListParagraph"/>
        <w:numPr>
          <w:ilvl w:val="0"/>
          <w:numId w:val="1"/>
        </w:numPr>
        <w:rPr>
          <w:rFonts w:ascii="Corbel" w:hAnsi="Corbel" w:cs="Times New Roman"/>
          <w:color w:val="000000" w:themeColor="text1"/>
        </w:rPr>
      </w:pPr>
      <w:r w:rsidRPr="0002185B">
        <w:rPr>
          <w:rFonts w:ascii="Corbel" w:hAnsi="Corbel" w:cs="Times New Roman"/>
          <w:color w:val="000000" w:themeColor="text1"/>
        </w:rPr>
        <w:t xml:space="preserve">Over 10,000 individuals are employed – today - in firms that benefitted from the tax holiday. This tells us that a lot of people are employed by these firms, but it does not tell us if the jobs are well paid or high quality.  </w:t>
      </w:r>
    </w:p>
    <w:p w14:paraId="77158842" w14:textId="58C97AB2" w:rsidR="0002185B" w:rsidRPr="0002185B" w:rsidRDefault="0002185B" w:rsidP="0002185B">
      <w:pPr>
        <w:pStyle w:val="ListParagraph"/>
        <w:numPr>
          <w:ilvl w:val="1"/>
          <w:numId w:val="1"/>
        </w:numPr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 xml:space="preserve">However, the objectives did not provide a level of employment that would indicate ‘success’. It might be that policymakers had expected many more than 10,000 jobs would be created. </w:t>
      </w:r>
    </w:p>
    <w:p w14:paraId="48064C7B" w14:textId="77777777" w:rsidR="0002185B" w:rsidRPr="0002185B" w:rsidRDefault="0002185B" w:rsidP="0002185B">
      <w:pPr>
        <w:pStyle w:val="ListParagraph"/>
        <w:rPr>
          <w:rFonts w:ascii="Corbel" w:hAnsi="Corbel" w:cs="Times New Roman"/>
          <w:color w:val="000000" w:themeColor="text1"/>
        </w:rPr>
      </w:pPr>
    </w:p>
    <w:p w14:paraId="792AD92B" w14:textId="77777777" w:rsidR="0002185B" w:rsidRPr="0002185B" w:rsidRDefault="0002185B" w:rsidP="0002185B">
      <w:pPr>
        <w:pStyle w:val="ListParagraph"/>
        <w:numPr>
          <w:ilvl w:val="0"/>
          <w:numId w:val="1"/>
        </w:numPr>
        <w:rPr>
          <w:rFonts w:ascii="Corbel" w:hAnsi="Corbel" w:cs="Times New Roman"/>
          <w:color w:val="000000" w:themeColor="text1"/>
        </w:rPr>
      </w:pPr>
      <w:r w:rsidRPr="0002185B">
        <w:rPr>
          <w:rFonts w:ascii="Corbel" w:hAnsi="Corbel" w:cs="Times New Roman"/>
          <w:color w:val="000000" w:themeColor="text1"/>
        </w:rPr>
        <w:t xml:space="preserve">Firm #88 received the tax holiday but did not meet the investment threshold. This is indicative of some kind of administrative failure! Yet, they created over 2,000 jobs. </w:t>
      </w:r>
    </w:p>
    <w:p w14:paraId="7BDA3E5A" w14:textId="77777777" w:rsidR="0002185B" w:rsidRPr="0002185B" w:rsidRDefault="0002185B" w:rsidP="0002185B">
      <w:pPr>
        <w:rPr>
          <w:rFonts w:ascii="Corbel" w:hAnsi="Corbel"/>
          <w:b/>
          <w:bCs/>
          <w:color w:val="000000" w:themeColor="text1"/>
        </w:rPr>
      </w:pPr>
    </w:p>
    <w:p w14:paraId="39725865" w14:textId="495BD81D" w:rsidR="0002185B" w:rsidRPr="0002185B" w:rsidRDefault="0002185B" w:rsidP="0002185B">
      <w:pPr>
        <w:rPr>
          <w:rFonts w:ascii="Corbel" w:hAnsi="Corbel"/>
          <w:b/>
          <w:bCs/>
          <w:color w:val="000000" w:themeColor="text1"/>
          <w:sz w:val="32"/>
          <w:szCs w:val="32"/>
        </w:rPr>
      </w:pPr>
      <w:r w:rsidRPr="0002185B">
        <w:rPr>
          <w:rFonts w:ascii="Corbel" w:hAnsi="Corbel"/>
          <w:b/>
          <w:bCs/>
          <w:color w:val="000000" w:themeColor="text1"/>
          <w:sz w:val="32"/>
          <w:szCs w:val="32"/>
        </w:rPr>
        <w:t xml:space="preserve">Information Sheet </w:t>
      </w:r>
      <w:r w:rsidRPr="0002185B">
        <w:rPr>
          <w:rFonts w:ascii="Corbel" w:hAnsi="Corbel"/>
          <w:b/>
          <w:bCs/>
          <w:color w:val="000000" w:themeColor="text1"/>
          <w:sz w:val="32"/>
          <w:szCs w:val="32"/>
        </w:rPr>
        <w:t>2</w:t>
      </w:r>
    </w:p>
    <w:p w14:paraId="7E970CEF" w14:textId="77777777" w:rsidR="0002185B" w:rsidRPr="0002185B" w:rsidRDefault="0002185B" w:rsidP="0002185B">
      <w:pPr>
        <w:rPr>
          <w:rFonts w:ascii="Corbel" w:hAnsi="Corbel"/>
          <w:b/>
          <w:bCs/>
          <w:color w:val="000000" w:themeColor="text1"/>
        </w:rPr>
      </w:pPr>
    </w:p>
    <w:p w14:paraId="0792D276" w14:textId="03141407" w:rsidR="0002185B" w:rsidRDefault="0002185B" w:rsidP="0002185B">
      <w:pPr>
        <w:pStyle w:val="ListParagraph"/>
        <w:numPr>
          <w:ilvl w:val="0"/>
          <w:numId w:val="2"/>
        </w:numPr>
        <w:rPr>
          <w:rFonts w:ascii="Corbel" w:hAnsi="Corbel"/>
          <w:color w:val="000000" w:themeColor="text1"/>
        </w:rPr>
      </w:pPr>
      <w:r w:rsidRPr="0002185B">
        <w:rPr>
          <w:rFonts w:ascii="Corbel" w:hAnsi="Corbel"/>
          <w:color w:val="000000" w:themeColor="text1"/>
        </w:rPr>
        <w:t xml:space="preserve">The additional information allows us to better understand the trends in FDI.  </w:t>
      </w:r>
    </w:p>
    <w:p w14:paraId="50BCA8E1" w14:textId="77777777" w:rsidR="0002185B" w:rsidRPr="0002185B" w:rsidRDefault="0002185B" w:rsidP="0002185B">
      <w:pPr>
        <w:pStyle w:val="ListParagraph"/>
        <w:rPr>
          <w:rFonts w:ascii="Corbel" w:hAnsi="Corbel"/>
          <w:color w:val="000000" w:themeColor="text1"/>
        </w:rPr>
      </w:pPr>
    </w:p>
    <w:p w14:paraId="652C26C0" w14:textId="77777777" w:rsidR="0002185B" w:rsidRPr="0002185B" w:rsidRDefault="0002185B" w:rsidP="0002185B">
      <w:pPr>
        <w:pStyle w:val="ListParagraph"/>
        <w:numPr>
          <w:ilvl w:val="0"/>
          <w:numId w:val="2"/>
        </w:numPr>
        <w:rPr>
          <w:rFonts w:ascii="Corbel" w:hAnsi="Corbel"/>
          <w:color w:val="000000" w:themeColor="text1"/>
        </w:rPr>
      </w:pPr>
      <w:r w:rsidRPr="0002185B">
        <w:rPr>
          <w:rFonts w:ascii="Corbel" w:hAnsi="Corbel"/>
          <w:color w:val="000000" w:themeColor="text1"/>
        </w:rPr>
        <w:t xml:space="preserve">Firstly, the chart shows that in </w:t>
      </w:r>
      <w:proofErr w:type="gramStart"/>
      <w:r w:rsidRPr="0002185B">
        <w:rPr>
          <w:rFonts w:ascii="Corbel" w:hAnsi="Corbel"/>
          <w:color w:val="000000" w:themeColor="text1"/>
        </w:rPr>
        <w:t>the majority of</w:t>
      </w:r>
      <w:proofErr w:type="gramEnd"/>
      <w:r w:rsidRPr="0002185B">
        <w:rPr>
          <w:rFonts w:ascii="Corbel" w:hAnsi="Corbel"/>
          <w:color w:val="000000" w:themeColor="text1"/>
        </w:rPr>
        <w:t xml:space="preserve"> years, FDI into Ghana was lower than the weighted average into other West African economies. </w:t>
      </w:r>
    </w:p>
    <w:p w14:paraId="07F81E38" w14:textId="68DC4411" w:rsidR="0002185B" w:rsidRPr="0002185B" w:rsidRDefault="0002185B" w:rsidP="0002185B">
      <w:pPr>
        <w:pStyle w:val="ListParagraph"/>
        <w:numPr>
          <w:ilvl w:val="1"/>
          <w:numId w:val="2"/>
        </w:numPr>
        <w:rPr>
          <w:rFonts w:ascii="Corbel" w:hAnsi="Corbel"/>
          <w:color w:val="000000" w:themeColor="text1"/>
        </w:rPr>
      </w:pPr>
      <w:r w:rsidRPr="0002185B">
        <w:rPr>
          <w:rFonts w:ascii="Corbel" w:hAnsi="Corbel"/>
          <w:color w:val="000000" w:themeColor="text1"/>
        </w:rPr>
        <w:t xml:space="preserve">Perhaps these economies offered more generous tax incentives to foreign investors. </w:t>
      </w:r>
    </w:p>
    <w:p w14:paraId="0C683F6E" w14:textId="691636B6" w:rsidR="0002185B" w:rsidRDefault="0002185B" w:rsidP="0002185B">
      <w:pPr>
        <w:pStyle w:val="ListParagraph"/>
        <w:numPr>
          <w:ilvl w:val="1"/>
          <w:numId w:val="2"/>
        </w:numPr>
        <w:rPr>
          <w:rFonts w:ascii="Corbel" w:hAnsi="Corbel"/>
          <w:color w:val="000000" w:themeColor="text1"/>
        </w:rPr>
      </w:pPr>
      <w:r w:rsidRPr="0002185B">
        <w:rPr>
          <w:rFonts w:ascii="Corbel" w:hAnsi="Corbel"/>
          <w:color w:val="000000" w:themeColor="text1"/>
        </w:rPr>
        <w:t xml:space="preserve">There may also be other structural reasons why this trend emerges. </w:t>
      </w:r>
    </w:p>
    <w:p w14:paraId="6C142DE5" w14:textId="77777777" w:rsidR="0002185B" w:rsidRPr="0002185B" w:rsidRDefault="0002185B" w:rsidP="0002185B">
      <w:pPr>
        <w:pStyle w:val="ListParagraph"/>
        <w:ind w:left="1440"/>
        <w:rPr>
          <w:rFonts w:ascii="Corbel" w:hAnsi="Corbel"/>
          <w:color w:val="000000" w:themeColor="text1"/>
        </w:rPr>
      </w:pPr>
    </w:p>
    <w:p w14:paraId="235367A6" w14:textId="2EFDBF81" w:rsidR="0002185B" w:rsidRPr="0002185B" w:rsidRDefault="0002185B" w:rsidP="0002185B">
      <w:pPr>
        <w:pStyle w:val="ListParagraph"/>
        <w:numPr>
          <w:ilvl w:val="0"/>
          <w:numId w:val="2"/>
        </w:numPr>
        <w:rPr>
          <w:rFonts w:ascii="Corbel" w:hAnsi="Corbel"/>
          <w:color w:val="000000" w:themeColor="text1"/>
        </w:rPr>
      </w:pPr>
      <w:r w:rsidRPr="0002185B">
        <w:rPr>
          <w:rFonts w:ascii="Corbel" w:hAnsi="Corbel"/>
          <w:color w:val="000000" w:themeColor="text1"/>
        </w:rPr>
        <w:t xml:space="preserve">Secondly, we learnt in Sheet 1 that beneficiaries of the incentive invested a total of US$55m. The total FDI into Ghana in 2012 was US$70m. Thus, it does look like the incentive helped to account for an uptick in FDI, vis-à-vis the surrounding years. </w:t>
      </w:r>
      <w:r w:rsidRPr="0002185B">
        <w:rPr>
          <w:rFonts w:ascii="Corbel" w:hAnsi="Corbel"/>
          <w:color w:val="000000" w:themeColor="text1"/>
        </w:rPr>
        <w:tab/>
      </w:r>
    </w:p>
    <w:p w14:paraId="7821411D" w14:textId="5D31A97E" w:rsidR="0002185B" w:rsidRPr="0002185B" w:rsidRDefault="0002185B" w:rsidP="0002185B">
      <w:pPr>
        <w:pStyle w:val="ListParagraph"/>
        <w:numPr>
          <w:ilvl w:val="1"/>
          <w:numId w:val="2"/>
        </w:numPr>
        <w:rPr>
          <w:rFonts w:ascii="Corbel" w:hAnsi="Corbel"/>
          <w:color w:val="000000" w:themeColor="text1"/>
        </w:rPr>
      </w:pPr>
      <w:r w:rsidRPr="0002185B">
        <w:rPr>
          <w:rFonts w:ascii="Corbel" w:hAnsi="Corbel"/>
          <w:color w:val="000000" w:themeColor="text1"/>
        </w:rPr>
        <w:t xml:space="preserve">However, we do not have enough evidence to say for sure that the offer of the tax holiday was the </w:t>
      </w:r>
      <w:r w:rsidRPr="0002185B">
        <w:rPr>
          <w:rFonts w:ascii="Corbel" w:hAnsi="Corbel"/>
          <w:i/>
          <w:iCs/>
          <w:color w:val="000000" w:themeColor="text1"/>
        </w:rPr>
        <w:t>cause</w:t>
      </w:r>
      <w:r w:rsidRPr="0002185B">
        <w:rPr>
          <w:rFonts w:ascii="Corbel" w:hAnsi="Corbel"/>
          <w:color w:val="000000" w:themeColor="text1"/>
        </w:rPr>
        <w:t xml:space="preserve"> of the investment (e.g.</w:t>
      </w:r>
      <w:r>
        <w:rPr>
          <w:rFonts w:ascii="Corbel" w:hAnsi="Corbel"/>
          <w:color w:val="000000" w:themeColor="text1"/>
        </w:rPr>
        <w:t>,</w:t>
      </w:r>
      <w:r w:rsidRPr="0002185B">
        <w:rPr>
          <w:rFonts w:ascii="Corbel" w:hAnsi="Corbel"/>
          <w:color w:val="000000" w:themeColor="text1"/>
        </w:rPr>
        <w:t xml:space="preserve"> perhaps these firms would have invested anyway). </w:t>
      </w:r>
    </w:p>
    <w:p w14:paraId="6750C2D9" w14:textId="6F5F8470" w:rsidR="0002185B" w:rsidRDefault="0002185B" w:rsidP="0002185B">
      <w:pPr>
        <w:rPr>
          <w:rFonts w:ascii="Corbel" w:hAnsi="Corbel"/>
          <w:b/>
          <w:bCs/>
          <w:color w:val="000000" w:themeColor="text1"/>
        </w:rPr>
      </w:pPr>
    </w:p>
    <w:p w14:paraId="4F8884C6" w14:textId="7F2F810E" w:rsidR="0002185B" w:rsidRPr="0002185B" w:rsidRDefault="0002185B" w:rsidP="0002185B">
      <w:pPr>
        <w:rPr>
          <w:rFonts w:ascii="Corbel" w:hAnsi="Corbel"/>
          <w:b/>
          <w:bCs/>
          <w:color w:val="000000" w:themeColor="text1"/>
          <w:sz w:val="32"/>
          <w:szCs w:val="32"/>
        </w:rPr>
      </w:pPr>
      <w:r w:rsidRPr="0002185B">
        <w:rPr>
          <w:rFonts w:ascii="Corbel" w:hAnsi="Corbel"/>
          <w:b/>
          <w:bCs/>
          <w:color w:val="000000" w:themeColor="text1"/>
          <w:sz w:val="32"/>
          <w:szCs w:val="32"/>
        </w:rPr>
        <w:t xml:space="preserve">Information Sheet </w:t>
      </w:r>
      <w:r>
        <w:rPr>
          <w:rFonts w:ascii="Corbel" w:hAnsi="Corbel"/>
          <w:b/>
          <w:bCs/>
          <w:color w:val="000000" w:themeColor="text1"/>
          <w:sz w:val="32"/>
          <w:szCs w:val="32"/>
        </w:rPr>
        <w:t>3</w:t>
      </w:r>
    </w:p>
    <w:p w14:paraId="1174F931" w14:textId="77777777" w:rsidR="0002185B" w:rsidRDefault="0002185B" w:rsidP="0002185B">
      <w:pPr>
        <w:rPr>
          <w:rFonts w:ascii="Corbel" w:hAnsi="Corbel"/>
          <w:b/>
          <w:bCs/>
          <w:color w:val="000000" w:themeColor="text1"/>
        </w:rPr>
      </w:pPr>
    </w:p>
    <w:p w14:paraId="6C7129DB" w14:textId="77777777" w:rsidR="0002185B" w:rsidRPr="0002185B" w:rsidRDefault="0002185B" w:rsidP="0002185B">
      <w:pPr>
        <w:pStyle w:val="ListParagraph"/>
        <w:numPr>
          <w:ilvl w:val="0"/>
          <w:numId w:val="3"/>
        </w:numPr>
        <w:rPr>
          <w:rFonts w:ascii="Corbel" w:hAnsi="Corbel"/>
          <w:b/>
          <w:bCs/>
          <w:color w:val="000000" w:themeColor="text1"/>
        </w:rPr>
      </w:pPr>
      <w:r>
        <w:rPr>
          <w:rFonts w:ascii="Corbel" w:hAnsi="Corbel"/>
          <w:color w:val="000000" w:themeColor="text1"/>
        </w:rPr>
        <w:t xml:space="preserve">This sheet shows us the average salaries of those employed by firms benefitting from the tax holiday. </w:t>
      </w:r>
    </w:p>
    <w:p w14:paraId="22DBF52F" w14:textId="77777777" w:rsidR="0002185B" w:rsidRPr="0002185B" w:rsidRDefault="0002185B" w:rsidP="0002185B">
      <w:pPr>
        <w:pStyle w:val="ListParagraph"/>
        <w:rPr>
          <w:rFonts w:ascii="Corbel" w:hAnsi="Corbel"/>
          <w:b/>
          <w:bCs/>
          <w:color w:val="000000" w:themeColor="text1"/>
        </w:rPr>
      </w:pPr>
    </w:p>
    <w:p w14:paraId="6B8CB191" w14:textId="1AF9AF65" w:rsidR="0002185B" w:rsidRPr="0002185B" w:rsidRDefault="0002185B" w:rsidP="0002185B">
      <w:pPr>
        <w:pStyle w:val="ListParagraph"/>
        <w:numPr>
          <w:ilvl w:val="0"/>
          <w:numId w:val="3"/>
        </w:numPr>
        <w:rPr>
          <w:rFonts w:ascii="Corbel" w:hAnsi="Corbel"/>
          <w:b/>
          <w:bCs/>
          <w:color w:val="000000" w:themeColor="text1"/>
        </w:rPr>
      </w:pPr>
      <w:r>
        <w:rPr>
          <w:rFonts w:ascii="Corbel" w:hAnsi="Corbel"/>
          <w:color w:val="000000" w:themeColor="text1"/>
        </w:rPr>
        <w:t xml:space="preserve">At first, it looks like the objective of high-paid, good quality jobs might have been met; on average the average </w:t>
      </w:r>
      <w:r w:rsidRPr="0002185B">
        <w:rPr>
          <w:rFonts w:ascii="Corbel" w:hAnsi="Corbel"/>
          <w:i/>
          <w:iCs/>
          <w:color w:val="000000" w:themeColor="text1"/>
        </w:rPr>
        <w:t>monthly</w:t>
      </w:r>
      <w:r>
        <w:rPr>
          <w:rFonts w:ascii="Corbel" w:hAnsi="Corbel"/>
          <w:color w:val="000000" w:themeColor="text1"/>
        </w:rPr>
        <w:t xml:space="preserve"> salary is higher than the </w:t>
      </w:r>
      <w:r w:rsidRPr="0002185B">
        <w:rPr>
          <w:rFonts w:ascii="Corbel" w:hAnsi="Corbel"/>
          <w:i/>
          <w:iCs/>
          <w:color w:val="000000" w:themeColor="text1"/>
        </w:rPr>
        <w:t>annual</w:t>
      </w:r>
      <w:r>
        <w:rPr>
          <w:rFonts w:ascii="Corbel" w:hAnsi="Corbel"/>
          <w:color w:val="000000" w:themeColor="text1"/>
        </w:rPr>
        <w:t xml:space="preserve"> average GDP per capita. </w:t>
      </w:r>
    </w:p>
    <w:p w14:paraId="47498C00" w14:textId="356C9F94" w:rsidR="0002185B" w:rsidRDefault="0002185B" w:rsidP="0002185B">
      <w:pPr>
        <w:pStyle w:val="ListParagraph"/>
        <w:numPr>
          <w:ilvl w:val="1"/>
          <w:numId w:val="3"/>
        </w:numPr>
        <w:rPr>
          <w:rFonts w:ascii="Corbel" w:hAnsi="Corbel"/>
          <w:color w:val="000000" w:themeColor="text1"/>
        </w:rPr>
      </w:pPr>
      <w:r w:rsidRPr="0002185B">
        <w:rPr>
          <w:rFonts w:ascii="Corbel" w:hAnsi="Corbel"/>
          <w:color w:val="000000" w:themeColor="text1"/>
        </w:rPr>
        <w:t xml:space="preserve">However, </w:t>
      </w:r>
      <w:r>
        <w:rPr>
          <w:rFonts w:ascii="Corbel" w:hAnsi="Corbel"/>
          <w:color w:val="000000" w:themeColor="text1"/>
        </w:rPr>
        <w:t xml:space="preserve">the average salary data tells us nothing of the </w:t>
      </w:r>
      <w:r>
        <w:rPr>
          <w:rFonts w:ascii="Corbel" w:hAnsi="Corbel"/>
          <w:i/>
          <w:iCs/>
          <w:color w:val="000000" w:themeColor="text1"/>
        </w:rPr>
        <w:t>distribution</w:t>
      </w:r>
      <w:r>
        <w:rPr>
          <w:rFonts w:ascii="Corbel" w:hAnsi="Corbel"/>
          <w:color w:val="000000" w:themeColor="text1"/>
        </w:rPr>
        <w:t xml:space="preserve"> of earnings within these firms. </w:t>
      </w:r>
    </w:p>
    <w:p w14:paraId="6FBB80A8" w14:textId="77777777" w:rsidR="0002185B" w:rsidRDefault="0002185B" w:rsidP="0002185B">
      <w:pPr>
        <w:rPr>
          <w:rFonts w:ascii="Corbel" w:hAnsi="Corbel"/>
          <w:color w:val="000000" w:themeColor="text1"/>
        </w:rPr>
      </w:pPr>
    </w:p>
    <w:p w14:paraId="6E326D14" w14:textId="28A4B5D7" w:rsidR="0002185B" w:rsidRDefault="0002185B" w:rsidP="0002185B">
      <w:pPr>
        <w:rPr>
          <w:rFonts w:ascii="Corbel" w:hAnsi="Corbel"/>
          <w:b/>
          <w:bCs/>
          <w:color w:val="000000" w:themeColor="text1"/>
          <w:sz w:val="32"/>
          <w:szCs w:val="32"/>
        </w:rPr>
      </w:pPr>
      <w:r w:rsidRPr="0002185B">
        <w:rPr>
          <w:rFonts w:ascii="Corbel" w:hAnsi="Corbel"/>
          <w:b/>
          <w:bCs/>
          <w:color w:val="000000" w:themeColor="text1"/>
          <w:sz w:val="32"/>
          <w:szCs w:val="32"/>
        </w:rPr>
        <w:lastRenderedPageBreak/>
        <w:t>Information Sheet 4 / PAYE Data</w:t>
      </w:r>
    </w:p>
    <w:p w14:paraId="36A7FB01" w14:textId="77777777" w:rsidR="0002185B" w:rsidRDefault="0002185B" w:rsidP="0002185B">
      <w:pPr>
        <w:rPr>
          <w:rFonts w:ascii="Corbel" w:hAnsi="Corbel"/>
          <w:b/>
          <w:bCs/>
          <w:color w:val="000000" w:themeColor="text1"/>
          <w:sz w:val="32"/>
          <w:szCs w:val="32"/>
        </w:rPr>
      </w:pPr>
    </w:p>
    <w:p w14:paraId="0EA1FF58" w14:textId="47A2EFE7" w:rsidR="0002185B" w:rsidRPr="0002185B" w:rsidRDefault="0002185B" w:rsidP="0002185B">
      <w:pPr>
        <w:pStyle w:val="ListParagraph"/>
        <w:numPr>
          <w:ilvl w:val="0"/>
          <w:numId w:val="5"/>
        </w:numPr>
        <w:rPr>
          <w:rFonts w:ascii="Corbel" w:hAnsi="Corbel"/>
          <w:b/>
          <w:bCs/>
          <w:color w:val="000000" w:themeColor="text1"/>
          <w:sz w:val="32"/>
          <w:szCs w:val="32"/>
        </w:rPr>
      </w:pPr>
      <w:r w:rsidRPr="0002185B">
        <w:rPr>
          <w:rFonts w:ascii="Corbel" w:hAnsi="Corbel"/>
          <w:color w:val="000000" w:themeColor="text1"/>
        </w:rPr>
        <w:t xml:space="preserve">The data contained within the PAYE returns tells a different story entirely. </w:t>
      </w:r>
      <w:proofErr w:type="gramStart"/>
      <w:r w:rsidRPr="0002185B">
        <w:rPr>
          <w:rFonts w:ascii="Corbel" w:hAnsi="Corbel"/>
          <w:color w:val="000000" w:themeColor="text1"/>
        </w:rPr>
        <w:t>The vast majority of</w:t>
      </w:r>
      <w:proofErr w:type="gramEnd"/>
      <w:r w:rsidRPr="0002185B">
        <w:rPr>
          <w:rFonts w:ascii="Corbel" w:hAnsi="Corbel"/>
          <w:color w:val="000000" w:themeColor="text1"/>
        </w:rPr>
        <w:t xml:space="preserve"> employees of firms that benefitted from the tax holiday are paid very low wages.</w:t>
      </w:r>
      <w:r w:rsidRPr="0002185B">
        <w:rPr>
          <w:rFonts w:ascii="Corbel" w:hAnsi="Corbel"/>
          <w:color w:val="000000" w:themeColor="text1"/>
        </w:rPr>
        <w:tab/>
      </w:r>
    </w:p>
    <w:p w14:paraId="62E2B598" w14:textId="3818DB6C" w:rsidR="0002185B" w:rsidRPr="0002185B" w:rsidRDefault="0002185B" w:rsidP="0002185B">
      <w:pPr>
        <w:pStyle w:val="ListParagraph"/>
        <w:numPr>
          <w:ilvl w:val="1"/>
          <w:numId w:val="5"/>
        </w:numPr>
        <w:rPr>
          <w:rFonts w:ascii="Corbel" w:hAnsi="Corbel"/>
          <w:b/>
          <w:bCs/>
          <w:color w:val="000000" w:themeColor="text1"/>
          <w:sz w:val="32"/>
          <w:szCs w:val="32"/>
        </w:rPr>
      </w:pPr>
      <w:r w:rsidRPr="0002185B">
        <w:rPr>
          <w:rFonts w:ascii="Corbel" w:hAnsi="Corbel"/>
          <w:color w:val="000000" w:themeColor="text1"/>
        </w:rPr>
        <w:t xml:space="preserve">The averages shown in information sheet 3 were being skewed (or biased) upward by some very high salaries (likely to business owners or executives). </w:t>
      </w:r>
    </w:p>
    <w:p w14:paraId="48945CBC" w14:textId="77777777" w:rsidR="0002185B" w:rsidRDefault="0002185B" w:rsidP="0002185B">
      <w:pPr>
        <w:rPr>
          <w:rFonts w:ascii="Corbel" w:hAnsi="Corbel"/>
          <w:b/>
          <w:bCs/>
          <w:color w:val="000000" w:themeColor="text1"/>
          <w:sz w:val="32"/>
          <w:szCs w:val="32"/>
        </w:rPr>
      </w:pPr>
    </w:p>
    <w:tbl>
      <w:tblPr>
        <w:tblW w:w="8060" w:type="dxa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1220"/>
        <w:gridCol w:w="1300"/>
        <w:gridCol w:w="1300"/>
        <w:gridCol w:w="1300"/>
        <w:gridCol w:w="1300"/>
      </w:tblGrid>
      <w:tr w:rsidR="0002185B" w:rsidRPr="0002185B" w14:paraId="57BECA29" w14:textId="77777777" w:rsidTr="0002185B">
        <w:trPr>
          <w:trHeight w:val="1020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4477925C" w14:textId="77777777" w:rsidR="0002185B" w:rsidRPr="0002185B" w:rsidRDefault="0002185B">
            <w:pPr>
              <w:rPr>
                <w:rFonts w:ascii="Corbel" w:hAnsi="Corbel"/>
              </w:rPr>
            </w:pP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3A36AEC3" w14:textId="77777777" w:rsidR="0002185B" w:rsidRPr="0002185B" w:rsidRDefault="0002185B">
            <w:pPr>
              <w:rPr>
                <w:rFonts w:ascii="Corbel" w:hAnsi="Corbel" w:cs="Calibri"/>
                <w:b/>
                <w:bCs/>
                <w:color w:val="000000"/>
              </w:rPr>
            </w:pPr>
            <w:r w:rsidRPr="0002185B">
              <w:rPr>
                <w:rFonts w:ascii="Corbel" w:hAnsi="Corbel" w:cs="Calibri"/>
                <w:b/>
                <w:bCs/>
                <w:color w:val="000000"/>
              </w:rPr>
              <w:t>Average Wage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5EDB326C" w14:textId="77777777" w:rsidR="0002185B" w:rsidRPr="0002185B" w:rsidRDefault="0002185B">
            <w:pPr>
              <w:rPr>
                <w:rFonts w:ascii="Corbel" w:hAnsi="Corbel" w:cs="Calibri"/>
                <w:b/>
                <w:bCs/>
                <w:color w:val="000000"/>
              </w:rPr>
            </w:pPr>
            <w:r w:rsidRPr="0002185B">
              <w:rPr>
                <w:rFonts w:ascii="Corbel" w:hAnsi="Corbel" w:cs="Calibri"/>
                <w:b/>
                <w:bCs/>
                <w:color w:val="000000"/>
              </w:rPr>
              <w:t>Median wage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1A2A534C" w14:textId="77777777" w:rsidR="0002185B" w:rsidRPr="0002185B" w:rsidRDefault="0002185B">
            <w:pPr>
              <w:rPr>
                <w:rFonts w:ascii="Corbel" w:hAnsi="Corbel" w:cs="Calibri"/>
                <w:b/>
                <w:bCs/>
                <w:color w:val="000000"/>
              </w:rPr>
            </w:pPr>
            <w:r w:rsidRPr="0002185B">
              <w:rPr>
                <w:rFonts w:ascii="Corbel" w:hAnsi="Corbel" w:cs="Calibri"/>
                <w:b/>
                <w:bCs/>
                <w:color w:val="000000"/>
              </w:rPr>
              <w:t>Wage @ 90th percentile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64CA39F6" w14:textId="77777777" w:rsidR="0002185B" w:rsidRPr="0002185B" w:rsidRDefault="0002185B">
            <w:pPr>
              <w:rPr>
                <w:rFonts w:ascii="Corbel" w:hAnsi="Corbel" w:cs="Calibri"/>
                <w:b/>
                <w:bCs/>
                <w:color w:val="000000"/>
              </w:rPr>
            </w:pPr>
            <w:r w:rsidRPr="0002185B">
              <w:rPr>
                <w:rFonts w:ascii="Corbel" w:hAnsi="Corbel" w:cs="Calibri"/>
                <w:b/>
                <w:bCs/>
                <w:color w:val="000000"/>
              </w:rPr>
              <w:t>Wage @ 25th percentile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D1E8AC7" w14:textId="77777777" w:rsidR="0002185B" w:rsidRPr="0002185B" w:rsidRDefault="0002185B">
            <w:pPr>
              <w:rPr>
                <w:rFonts w:ascii="Corbel" w:hAnsi="Corbel" w:cs="Calibri"/>
                <w:b/>
                <w:bCs/>
                <w:color w:val="000000"/>
              </w:rPr>
            </w:pPr>
            <w:r w:rsidRPr="0002185B">
              <w:rPr>
                <w:rFonts w:ascii="Corbel" w:hAnsi="Corbel" w:cs="Calibri"/>
                <w:b/>
                <w:bCs/>
                <w:color w:val="000000"/>
              </w:rPr>
              <w:t>Wage @ 10th percentile</w:t>
            </w:r>
          </w:p>
        </w:tc>
      </w:tr>
      <w:tr w:rsidR="0002185B" w:rsidRPr="0002185B" w14:paraId="66F4C745" w14:textId="77777777" w:rsidTr="0002185B">
        <w:trPr>
          <w:trHeight w:val="320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4D5E66E1" w14:textId="77777777" w:rsidR="0002185B" w:rsidRPr="0002185B" w:rsidRDefault="0002185B">
            <w:pPr>
              <w:rPr>
                <w:rFonts w:ascii="Corbel" w:hAnsi="Corbel" w:cs="Calibri"/>
                <w:b/>
                <w:bCs/>
                <w:color w:val="000000"/>
              </w:rPr>
            </w:pPr>
            <w:r w:rsidRPr="0002185B">
              <w:rPr>
                <w:rFonts w:ascii="Corbel" w:hAnsi="Corbel" w:cs="Calibri"/>
                <w:b/>
                <w:bCs/>
                <w:color w:val="000000"/>
              </w:rPr>
              <w:t>Recipients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99D935D" w14:textId="346DD7C9" w:rsidR="0002185B" w:rsidRPr="0002185B" w:rsidRDefault="0002185B">
            <w:pPr>
              <w:rPr>
                <w:rFonts w:ascii="Corbel" w:hAnsi="Corbel" w:cs="Calibri"/>
                <w:color w:val="000000"/>
              </w:rPr>
            </w:pPr>
            <w:r>
              <w:rPr>
                <w:rFonts w:ascii="Corbel" w:hAnsi="Corbel" w:cs="Calibri"/>
                <w:color w:val="000000"/>
              </w:rPr>
              <w:t>$</w:t>
            </w:r>
            <w:r w:rsidRPr="0002185B">
              <w:rPr>
                <w:rFonts w:ascii="Corbel" w:hAnsi="Corbel" w:cs="Calibri"/>
                <w:color w:val="000000"/>
              </w:rPr>
              <w:t xml:space="preserve">3,973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2B3784" w14:textId="0F5E6C4F" w:rsidR="0002185B" w:rsidRPr="0002185B" w:rsidRDefault="0002185B">
            <w:pPr>
              <w:rPr>
                <w:rFonts w:ascii="Corbel" w:hAnsi="Corbel" w:cs="Calibri"/>
                <w:color w:val="000000"/>
              </w:rPr>
            </w:pPr>
            <w:r>
              <w:rPr>
                <w:rFonts w:ascii="Corbel" w:hAnsi="Corbel" w:cs="Calibri"/>
                <w:color w:val="000000"/>
              </w:rPr>
              <w:t>$</w:t>
            </w:r>
            <w:r w:rsidRPr="0002185B">
              <w:rPr>
                <w:rFonts w:ascii="Corbel" w:hAnsi="Corbel" w:cs="Calibri"/>
                <w:color w:val="000000"/>
              </w:rPr>
              <w:t xml:space="preserve">313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FDAFE6" w14:textId="17DA263C" w:rsidR="0002185B" w:rsidRPr="0002185B" w:rsidRDefault="0002185B">
            <w:pPr>
              <w:rPr>
                <w:rFonts w:ascii="Corbel" w:hAnsi="Corbel" w:cs="Calibri"/>
                <w:color w:val="000000"/>
              </w:rPr>
            </w:pPr>
            <w:r>
              <w:rPr>
                <w:rFonts w:ascii="Corbel" w:hAnsi="Corbel" w:cs="Calibri"/>
                <w:color w:val="000000"/>
              </w:rPr>
              <w:t>$</w:t>
            </w:r>
            <w:r w:rsidRPr="0002185B">
              <w:rPr>
                <w:rFonts w:ascii="Corbel" w:hAnsi="Corbel" w:cs="Calibri"/>
                <w:color w:val="000000"/>
              </w:rPr>
              <w:t xml:space="preserve">500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51E870" w14:textId="6AF36E44" w:rsidR="0002185B" w:rsidRPr="0002185B" w:rsidRDefault="0002185B">
            <w:pPr>
              <w:rPr>
                <w:rFonts w:ascii="Corbel" w:hAnsi="Corbel" w:cs="Calibri"/>
                <w:color w:val="000000"/>
              </w:rPr>
            </w:pPr>
            <w:r>
              <w:rPr>
                <w:rFonts w:ascii="Corbel" w:hAnsi="Corbel" w:cs="Calibri"/>
                <w:color w:val="000000"/>
              </w:rPr>
              <w:t>$</w:t>
            </w:r>
            <w:r w:rsidRPr="0002185B">
              <w:rPr>
                <w:rFonts w:ascii="Corbel" w:hAnsi="Corbel" w:cs="Calibri"/>
                <w:color w:val="000000"/>
              </w:rPr>
              <w:t xml:space="preserve">250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4F0160" w14:textId="2A8160DB" w:rsidR="0002185B" w:rsidRPr="0002185B" w:rsidRDefault="0002185B">
            <w:pPr>
              <w:rPr>
                <w:rFonts w:ascii="Corbel" w:hAnsi="Corbel" w:cs="Calibri"/>
                <w:color w:val="000000"/>
              </w:rPr>
            </w:pPr>
            <w:r>
              <w:rPr>
                <w:rFonts w:ascii="Corbel" w:hAnsi="Corbel" w:cs="Calibri"/>
                <w:color w:val="000000"/>
              </w:rPr>
              <w:t>$</w:t>
            </w:r>
            <w:r w:rsidRPr="0002185B">
              <w:rPr>
                <w:rFonts w:ascii="Corbel" w:hAnsi="Corbel" w:cs="Calibri"/>
                <w:color w:val="000000"/>
              </w:rPr>
              <w:t xml:space="preserve">188 </w:t>
            </w:r>
          </w:p>
        </w:tc>
      </w:tr>
      <w:tr w:rsidR="0002185B" w:rsidRPr="0002185B" w14:paraId="23D26DEA" w14:textId="77777777" w:rsidTr="0002185B">
        <w:trPr>
          <w:trHeight w:val="320"/>
        </w:trPr>
        <w:tc>
          <w:tcPr>
            <w:tcW w:w="1640" w:type="dxa"/>
            <w:shd w:val="clear" w:color="auto" w:fill="auto"/>
            <w:noWrap/>
            <w:vAlign w:val="bottom"/>
            <w:hideMark/>
          </w:tcPr>
          <w:p w14:paraId="578D8499" w14:textId="77777777" w:rsidR="0002185B" w:rsidRPr="0002185B" w:rsidRDefault="0002185B">
            <w:pPr>
              <w:rPr>
                <w:rFonts w:ascii="Corbel" w:hAnsi="Corbel" w:cs="Calibri"/>
                <w:b/>
                <w:bCs/>
                <w:color w:val="000000"/>
              </w:rPr>
            </w:pPr>
            <w:r w:rsidRPr="0002185B">
              <w:rPr>
                <w:rFonts w:ascii="Corbel" w:hAnsi="Corbel" w:cs="Calibri"/>
                <w:b/>
                <w:bCs/>
                <w:color w:val="000000"/>
              </w:rPr>
              <w:t>Non-Recipients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B24B5F3" w14:textId="74E5773A" w:rsidR="0002185B" w:rsidRPr="0002185B" w:rsidRDefault="0002185B">
            <w:pPr>
              <w:rPr>
                <w:rFonts w:ascii="Corbel" w:hAnsi="Corbel" w:cs="Calibri"/>
                <w:color w:val="000000"/>
              </w:rPr>
            </w:pPr>
            <w:r>
              <w:rPr>
                <w:rFonts w:ascii="Corbel" w:hAnsi="Corbel" w:cs="Calibri"/>
                <w:color w:val="000000"/>
              </w:rPr>
              <w:t>$</w:t>
            </w:r>
            <w:r w:rsidRPr="0002185B">
              <w:rPr>
                <w:rFonts w:ascii="Corbel" w:hAnsi="Corbel" w:cs="Calibri"/>
                <w:color w:val="000000"/>
              </w:rPr>
              <w:t xml:space="preserve">2,391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651958" w14:textId="4D74A803" w:rsidR="0002185B" w:rsidRPr="0002185B" w:rsidRDefault="0002185B">
            <w:pPr>
              <w:rPr>
                <w:rFonts w:ascii="Corbel" w:hAnsi="Corbel" w:cs="Calibri"/>
                <w:color w:val="000000"/>
              </w:rPr>
            </w:pPr>
            <w:r>
              <w:rPr>
                <w:rFonts w:ascii="Corbel" w:hAnsi="Corbel" w:cs="Calibri"/>
                <w:color w:val="000000"/>
              </w:rPr>
              <w:t>$</w:t>
            </w:r>
            <w:r w:rsidRPr="0002185B">
              <w:rPr>
                <w:rFonts w:ascii="Corbel" w:hAnsi="Corbel" w:cs="Calibri"/>
                <w:color w:val="000000"/>
              </w:rPr>
              <w:t xml:space="preserve">2,125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8A3EBB" w14:textId="26F9851E" w:rsidR="0002185B" w:rsidRPr="0002185B" w:rsidRDefault="0002185B">
            <w:pPr>
              <w:rPr>
                <w:rFonts w:ascii="Corbel" w:hAnsi="Corbel" w:cs="Calibri"/>
                <w:color w:val="000000"/>
              </w:rPr>
            </w:pPr>
            <w:r>
              <w:rPr>
                <w:rFonts w:ascii="Corbel" w:hAnsi="Corbel" w:cs="Calibri"/>
                <w:color w:val="000000"/>
              </w:rPr>
              <w:t>$</w:t>
            </w:r>
            <w:r w:rsidRPr="0002185B">
              <w:rPr>
                <w:rFonts w:ascii="Corbel" w:hAnsi="Corbel" w:cs="Calibri"/>
                <w:color w:val="000000"/>
              </w:rPr>
              <w:t xml:space="preserve">3,750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9545DB" w14:textId="436A522B" w:rsidR="0002185B" w:rsidRPr="0002185B" w:rsidRDefault="0002185B">
            <w:pPr>
              <w:rPr>
                <w:rFonts w:ascii="Corbel" w:hAnsi="Corbel" w:cs="Calibri"/>
                <w:color w:val="000000"/>
              </w:rPr>
            </w:pPr>
            <w:r>
              <w:rPr>
                <w:rFonts w:ascii="Corbel" w:hAnsi="Corbel" w:cs="Calibri"/>
                <w:color w:val="000000"/>
              </w:rPr>
              <w:t>$</w:t>
            </w:r>
            <w:r w:rsidRPr="0002185B">
              <w:rPr>
                <w:rFonts w:ascii="Corbel" w:hAnsi="Corbel" w:cs="Calibri"/>
                <w:color w:val="000000"/>
              </w:rPr>
              <w:t xml:space="preserve">1,750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A5A5B2" w14:textId="406D7D3D" w:rsidR="0002185B" w:rsidRPr="0002185B" w:rsidRDefault="0002185B">
            <w:pPr>
              <w:rPr>
                <w:rFonts w:ascii="Corbel" w:hAnsi="Corbel" w:cs="Calibri"/>
                <w:color w:val="000000"/>
              </w:rPr>
            </w:pPr>
            <w:r>
              <w:rPr>
                <w:rFonts w:ascii="Corbel" w:hAnsi="Corbel" w:cs="Calibri"/>
                <w:color w:val="000000"/>
              </w:rPr>
              <w:t>$</w:t>
            </w:r>
            <w:r w:rsidRPr="0002185B">
              <w:rPr>
                <w:rFonts w:ascii="Corbel" w:hAnsi="Corbel" w:cs="Calibri"/>
                <w:color w:val="000000"/>
              </w:rPr>
              <w:t xml:space="preserve">1,250 </w:t>
            </w:r>
          </w:p>
        </w:tc>
      </w:tr>
    </w:tbl>
    <w:p w14:paraId="16D3B8DA" w14:textId="77777777" w:rsidR="0002185B" w:rsidRDefault="0002185B" w:rsidP="0002185B">
      <w:pPr>
        <w:rPr>
          <w:rFonts w:ascii="Corbel" w:hAnsi="Corbel"/>
          <w:b/>
          <w:bCs/>
          <w:color w:val="000000" w:themeColor="text1"/>
          <w:sz w:val="32"/>
          <w:szCs w:val="32"/>
        </w:rPr>
      </w:pPr>
    </w:p>
    <w:p w14:paraId="028A9384" w14:textId="737A6DE2" w:rsidR="0002185B" w:rsidRPr="004F0DE7" w:rsidRDefault="0002185B" w:rsidP="004F0DE7">
      <w:pPr>
        <w:pStyle w:val="ListParagraph"/>
        <w:numPr>
          <w:ilvl w:val="0"/>
          <w:numId w:val="5"/>
        </w:numPr>
        <w:rPr>
          <w:rFonts w:ascii="Corbel" w:hAnsi="Corbel"/>
          <w:color w:val="000000" w:themeColor="text1"/>
        </w:rPr>
      </w:pPr>
      <w:r w:rsidRPr="004F0DE7">
        <w:rPr>
          <w:rFonts w:ascii="Corbel" w:hAnsi="Corbel"/>
          <w:color w:val="000000" w:themeColor="text1"/>
        </w:rPr>
        <w:t>We can see from the table that the median wage in beneficiary firms is just $313 per month, whilst in non-beneficiaries it was $2,125. Even the wage at the 90</w:t>
      </w:r>
      <w:r w:rsidRPr="004F0DE7">
        <w:rPr>
          <w:rFonts w:ascii="Corbel" w:hAnsi="Corbel"/>
          <w:color w:val="000000" w:themeColor="text1"/>
          <w:vertAlign w:val="superscript"/>
        </w:rPr>
        <w:t>th</w:t>
      </w:r>
      <w:r w:rsidRPr="004F0DE7">
        <w:rPr>
          <w:rFonts w:ascii="Corbel" w:hAnsi="Corbel"/>
          <w:color w:val="000000" w:themeColor="text1"/>
        </w:rPr>
        <w:t xml:space="preserve"> percentile was just $500 per month (i.e., 90% of workers in the beneficiary firms earned $500 or less per month). </w:t>
      </w:r>
    </w:p>
    <w:p w14:paraId="4E055B9A" w14:textId="77777777" w:rsidR="0002185B" w:rsidRDefault="0002185B" w:rsidP="0002185B">
      <w:pPr>
        <w:rPr>
          <w:rFonts w:ascii="Corbel" w:hAnsi="Corbel"/>
          <w:color w:val="000000" w:themeColor="text1"/>
        </w:rPr>
      </w:pPr>
    </w:p>
    <w:p w14:paraId="6AC8FA29" w14:textId="7DF8B2DF" w:rsidR="0002185B" w:rsidRDefault="0002185B" w:rsidP="004F0DE7">
      <w:pPr>
        <w:pStyle w:val="ListParagraph"/>
        <w:numPr>
          <w:ilvl w:val="0"/>
          <w:numId w:val="5"/>
        </w:numPr>
        <w:rPr>
          <w:rFonts w:ascii="Corbel" w:hAnsi="Corbel"/>
          <w:color w:val="000000" w:themeColor="text1"/>
        </w:rPr>
      </w:pPr>
      <w:r w:rsidRPr="004F0DE7">
        <w:rPr>
          <w:rFonts w:ascii="Corbel" w:hAnsi="Corbel"/>
          <w:color w:val="000000" w:themeColor="text1"/>
        </w:rPr>
        <w:t xml:space="preserve">If we interpret the non-recipient group as representative of the job market more generally, </w:t>
      </w:r>
      <w:proofErr w:type="gramStart"/>
      <w:r w:rsidRPr="004F0DE7">
        <w:rPr>
          <w:rFonts w:ascii="Corbel" w:hAnsi="Corbel"/>
          <w:color w:val="000000" w:themeColor="text1"/>
        </w:rPr>
        <w:t>then it is clear that, on</w:t>
      </w:r>
      <w:proofErr w:type="gramEnd"/>
      <w:r w:rsidRPr="004F0DE7">
        <w:rPr>
          <w:rFonts w:ascii="Corbel" w:hAnsi="Corbel"/>
          <w:color w:val="000000" w:themeColor="text1"/>
        </w:rPr>
        <w:t xml:space="preserve"> average, the jobs created in beneficiary firms are not high-quality or well-paid. </w:t>
      </w:r>
    </w:p>
    <w:p w14:paraId="53D04D89" w14:textId="77777777" w:rsidR="004F0DE7" w:rsidRPr="004F0DE7" w:rsidRDefault="004F0DE7" w:rsidP="004F0DE7">
      <w:pPr>
        <w:pStyle w:val="ListParagraph"/>
        <w:rPr>
          <w:rFonts w:ascii="Corbel" w:hAnsi="Corbel"/>
          <w:color w:val="000000" w:themeColor="text1"/>
        </w:rPr>
      </w:pPr>
    </w:p>
    <w:p w14:paraId="7D0C16B6" w14:textId="77777777" w:rsidR="004F0DE7" w:rsidRDefault="004F0DE7" w:rsidP="004F0DE7">
      <w:pPr>
        <w:rPr>
          <w:rFonts w:ascii="Corbel" w:hAnsi="Corbel"/>
          <w:color w:val="000000" w:themeColor="text1"/>
        </w:rPr>
      </w:pPr>
    </w:p>
    <w:p w14:paraId="7E3EA3FC" w14:textId="17E237E9" w:rsidR="004F0DE7" w:rsidRDefault="004F0DE7" w:rsidP="004F0DE7">
      <w:pPr>
        <w:rPr>
          <w:rFonts w:ascii="Corbel" w:hAnsi="Corbel"/>
          <w:b/>
          <w:bCs/>
          <w:color w:val="000000" w:themeColor="text1"/>
          <w:sz w:val="32"/>
          <w:szCs w:val="32"/>
        </w:rPr>
      </w:pPr>
      <w:r w:rsidRPr="004F0DE7">
        <w:rPr>
          <w:rFonts w:ascii="Corbel" w:hAnsi="Corbel"/>
          <w:b/>
          <w:bCs/>
          <w:color w:val="000000" w:themeColor="text1"/>
          <w:sz w:val="32"/>
          <w:szCs w:val="32"/>
        </w:rPr>
        <w:t>Conclusions</w:t>
      </w:r>
    </w:p>
    <w:p w14:paraId="5BE898B3" w14:textId="77777777" w:rsidR="004F0DE7" w:rsidRDefault="004F0DE7" w:rsidP="004F0DE7">
      <w:pPr>
        <w:jc w:val="both"/>
        <w:rPr>
          <w:rFonts w:ascii="Corbel" w:hAnsi="Corbel"/>
          <w:b/>
          <w:bCs/>
          <w:color w:val="000000" w:themeColor="text1"/>
          <w:sz w:val="32"/>
          <w:szCs w:val="32"/>
        </w:rPr>
      </w:pPr>
    </w:p>
    <w:p w14:paraId="253932DC" w14:textId="07EB52D8" w:rsidR="004F0DE7" w:rsidRPr="004F0DE7" w:rsidRDefault="004F0DE7" w:rsidP="004F0DE7">
      <w:pPr>
        <w:jc w:val="both"/>
        <w:rPr>
          <w:rFonts w:ascii="Corbel" w:hAnsi="Corbel"/>
          <w:color w:val="000000" w:themeColor="text1"/>
        </w:rPr>
      </w:pPr>
      <w:r w:rsidRPr="004F0DE7">
        <w:rPr>
          <w:rFonts w:ascii="Corbel" w:hAnsi="Corbel"/>
          <w:color w:val="000000" w:themeColor="text1"/>
        </w:rPr>
        <w:t xml:space="preserve">We can say that FDI did occur, and it </w:t>
      </w:r>
      <w:r w:rsidRPr="004F0DE7">
        <w:rPr>
          <w:rFonts w:ascii="Corbel" w:hAnsi="Corbel"/>
          <w:i/>
          <w:iCs/>
          <w:color w:val="000000" w:themeColor="text1"/>
        </w:rPr>
        <w:t>looks</w:t>
      </w:r>
      <w:r w:rsidRPr="004F0DE7">
        <w:rPr>
          <w:rFonts w:ascii="Corbel" w:hAnsi="Corbel"/>
          <w:color w:val="000000" w:themeColor="text1"/>
        </w:rPr>
        <w:t xml:space="preserve"> to have increased during the year the tax holiday was offered, but we do not have enough evidence to </w:t>
      </w:r>
      <w:r>
        <w:rPr>
          <w:rFonts w:ascii="Corbel" w:hAnsi="Corbel"/>
          <w:color w:val="000000" w:themeColor="text1"/>
        </w:rPr>
        <w:t>for certain that this was due to the tax holiday.</w:t>
      </w:r>
    </w:p>
    <w:p w14:paraId="275EFF2A" w14:textId="77777777" w:rsidR="004F0DE7" w:rsidRPr="004F0DE7" w:rsidRDefault="004F0DE7" w:rsidP="004F0DE7">
      <w:pPr>
        <w:jc w:val="both"/>
        <w:rPr>
          <w:rFonts w:ascii="Corbel" w:hAnsi="Corbel"/>
          <w:color w:val="000000" w:themeColor="text1"/>
        </w:rPr>
      </w:pPr>
    </w:p>
    <w:p w14:paraId="105A3270" w14:textId="3F7B0200" w:rsidR="004F0DE7" w:rsidRPr="004F0DE7" w:rsidRDefault="004F0DE7" w:rsidP="004F0DE7">
      <w:pPr>
        <w:jc w:val="both"/>
        <w:rPr>
          <w:rFonts w:ascii="Corbel" w:hAnsi="Corbel"/>
          <w:color w:val="000000" w:themeColor="text1"/>
        </w:rPr>
      </w:pPr>
      <w:r w:rsidRPr="004F0DE7">
        <w:rPr>
          <w:rFonts w:ascii="Corbel" w:hAnsi="Corbel"/>
          <w:color w:val="000000" w:themeColor="text1"/>
        </w:rPr>
        <w:t xml:space="preserve">We can say that whilst jobs were created with good salaries on average, we eventually find out that these are mostly low-wage jobs and not the type envisaged by Government when the tax holiday was granted </w:t>
      </w:r>
      <w:r w:rsidRPr="004F0DE7">
        <w:rPr>
          <w:rFonts w:ascii="Corbel" w:hAnsi="Corbel"/>
          <w:color w:val="000000" w:themeColor="text1"/>
        </w:rPr>
        <w:t>(high-quality, well paid)</w:t>
      </w:r>
      <w:r w:rsidRPr="004F0DE7">
        <w:rPr>
          <w:rFonts w:ascii="Corbel" w:hAnsi="Corbel"/>
          <w:color w:val="000000" w:themeColor="text1"/>
        </w:rPr>
        <w:t xml:space="preserve">. </w:t>
      </w:r>
    </w:p>
    <w:p w14:paraId="7EEE1BD3" w14:textId="77777777" w:rsidR="004F0DE7" w:rsidRPr="004F0DE7" w:rsidRDefault="004F0DE7" w:rsidP="004F0DE7">
      <w:pPr>
        <w:jc w:val="both"/>
        <w:rPr>
          <w:rFonts w:ascii="Corbel" w:hAnsi="Corbel"/>
          <w:color w:val="000000" w:themeColor="text1"/>
        </w:rPr>
      </w:pPr>
    </w:p>
    <w:p w14:paraId="2F57D7B9" w14:textId="197087B3" w:rsidR="004F0DE7" w:rsidRPr="004F0DE7" w:rsidRDefault="004F0DE7" w:rsidP="004F0DE7">
      <w:pPr>
        <w:jc w:val="both"/>
        <w:rPr>
          <w:rFonts w:ascii="Corbel" w:hAnsi="Corbel"/>
          <w:b/>
          <w:bCs/>
          <w:color w:val="000000" w:themeColor="text1"/>
        </w:rPr>
      </w:pPr>
      <w:r w:rsidRPr="004F0DE7">
        <w:rPr>
          <w:rFonts w:ascii="Corbel" w:hAnsi="Corbel"/>
          <w:b/>
          <w:bCs/>
          <w:color w:val="000000" w:themeColor="text1"/>
        </w:rPr>
        <w:t xml:space="preserve">It is difficult to draw conclusions from highly aggregated data or averages. You can get a more complete picture of the effectiveness or efficiency of TE </w:t>
      </w:r>
      <w:r>
        <w:rPr>
          <w:rFonts w:ascii="Corbel" w:hAnsi="Corbel"/>
          <w:b/>
          <w:bCs/>
          <w:color w:val="000000" w:themeColor="text1"/>
        </w:rPr>
        <w:t>by asking for more detailed data!</w:t>
      </w:r>
    </w:p>
    <w:sectPr w:rsidR="004F0DE7" w:rsidRPr="004F0D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E784E"/>
    <w:multiLevelType w:val="hybridMultilevel"/>
    <w:tmpl w:val="50426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D0991"/>
    <w:multiLevelType w:val="hybridMultilevel"/>
    <w:tmpl w:val="75EC6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46A04"/>
    <w:multiLevelType w:val="hybridMultilevel"/>
    <w:tmpl w:val="CEBC7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472AE"/>
    <w:multiLevelType w:val="hybridMultilevel"/>
    <w:tmpl w:val="D1568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A25502"/>
    <w:multiLevelType w:val="hybridMultilevel"/>
    <w:tmpl w:val="0CA0C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93569">
    <w:abstractNumId w:val="0"/>
  </w:num>
  <w:num w:numId="2" w16cid:durableId="289360189">
    <w:abstractNumId w:val="2"/>
  </w:num>
  <w:num w:numId="3" w16cid:durableId="1829055456">
    <w:abstractNumId w:val="4"/>
  </w:num>
  <w:num w:numId="4" w16cid:durableId="1288203496">
    <w:abstractNumId w:val="1"/>
  </w:num>
  <w:num w:numId="5" w16cid:durableId="1197044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5B"/>
    <w:rsid w:val="0002185B"/>
    <w:rsid w:val="000658CA"/>
    <w:rsid w:val="003C652A"/>
    <w:rsid w:val="004F0DE7"/>
    <w:rsid w:val="005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E3892C"/>
  <w15:chartTrackingRefBased/>
  <w15:docId w15:val="{1731E84E-69BF-8940-8F6C-59919674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85B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185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D1878DB1335499DDB13F3A4C3009B" ma:contentTypeVersion="17" ma:contentTypeDescription="Ein neues Dokument erstellen." ma:contentTypeScope="" ma:versionID="4c4f9f59269a5db6a078951509068dd3">
  <xsd:schema xmlns:xsd="http://www.w3.org/2001/XMLSchema" xmlns:xs="http://www.w3.org/2001/XMLSchema" xmlns:p="http://schemas.microsoft.com/office/2006/metadata/properties" xmlns:ns2="388ba771-cdb3-4ab4-b105-079ba08c4720" xmlns:ns3="eabf0ec1-5846-45d3-901d-efa415327165" xmlns:ns4="484c8c59-755d-4516-b8d2-1621b38262b4" targetNamespace="http://schemas.microsoft.com/office/2006/metadata/properties" ma:root="true" ma:fieldsID="fbf76c452d713b5d46a6bcda5313313d" ns2:_="" ns3:_="" ns4:_="">
    <xsd:import namespace="388ba771-cdb3-4ab4-b105-079ba08c4720"/>
    <xsd:import namespace="eabf0ec1-5846-45d3-901d-efa415327165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ba771-cdb3-4ab4-b105-079ba08c4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f0ec1-5846-45d3-901d-efa415327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b8898a4-a6ca-406b-ac03-743b1b87d977}" ma:internalName="TaxCatchAll" ma:showField="CatchAllData" ma:web="eabf0ec1-5846-45d3-901d-efa4153271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4C15C1-38B9-4D5F-818F-BA365A3B4962}"/>
</file>

<file path=customXml/itemProps2.xml><?xml version="1.0" encoding="utf-8"?>
<ds:datastoreItem xmlns:ds="http://schemas.openxmlformats.org/officeDocument/2006/customXml" ds:itemID="{2CDDC109-07AE-408D-A834-7D44658728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McNabb</dc:creator>
  <cp:keywords/>
  <dc:description/>
  <cp:lastModifiedBy>Kyle McNabb</cp:lastModifiedBy>
  <cp:revision>2</cp:revision>
  <dcterms:created xsi:type="dcterms:W3CDTF">2023-09-20T15:42:00Z</dcterms:created>
  <dcterms:modified xsi:type="dcterms:W3CDTF">2023-09-20T16:14:00Z</dcterms:modified>
</cp:coreProperties>
</file>